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南通职业大学国有资产处置招标书</w:t>
      </w:r>
    </w:p>
    <w:p>
      <w:pPr>
        <w:rPr>
          <w:sz w:val="24"/>
          <w:szCs w:val="24"/>
        </w:rPr>
      </w:pPr>
    </w:p>
    <w:p>
      <w:pPr>
        <w:spacing w:line="360" w:lineRule="auto"/>
        <w:rPr>
          <w:sz w:val="21"/>
          <w:szCs w:val="21"/>
        </w:rPr>
      </w:pPr>
      <w:r>
        <w:rPr>
          <w:rFonts w:hint="eastAsia"/>
          <w:b/>
          <w:sz w:val="21"/>
          <w:szCs w:val="21"/>
        </w:rPr>
        <w:t>一、名称：</w:t>
      </w:r>
      <w:r>
        <w:rPr>
          <w:rFonts w:hint="eastAsia"/>
          <w:sz w:val="21"/>
          <w:szCs w:val="21"/>
        </w:rPr>
        <w:t>国有资产一批</w:t>
      </w:r>
    </w:p>
    <w:p>
      <w:pPr>
        <w:spacing w:line="360" w:lineRule="auto"/>
        <w:rPr>
          <w:sz w:val="21"/>
          <w:szCs w:val="21"/>
        </w:rPr>
      </w:pPr>
      <w:r>
        <w:rPr>
          <w:rFonts w:hint="eastAsia"/>
          <w:b/>
          <w:sz w:val="21"/>
          <w:szCs w:val="21"/>
        </w:rPr>
        <w:t>二、编号：</w:t>
      </w:r>
      <w:r>
        <w:rPr>
          <w:rFonts w:hint="eastAsia"/>
          <w:sz w:val="21"/>
          <w:szCs w:val="21"/>
        </w:rPr>
        <w:t>NTZDGZ202307004</w:t>
      </w:r>
    </w:p>
    <w:p>
      <w:pPr>
        <w:spacing w:line="360" w:lineRule="auto"/>
        <w:rPr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三、投标要求</w:t>
      </w:r>
    </w:p>
    <w:p>
      <w:pPr>
        <w:spacing w:line="360" w:lineRule="auto"/>
        <w:rPr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（一）投标人条件</w:t>
      </w:r>
    </w:p>
    <w:p>
      <w:pPr>
        <w:spacing w:line="360" w:lineRule="auto"/>
        <w:rPr>
          <w:sz w:val="21"/>
          <w:szCs w:val="21"/>
        </w:rPr>
      </w:pPr>
      <w:r>
        <w:rPr>
          <w:rFonts w:hint="eastAsia"/>
          <w:sz w:val="21"/>
          <w:szCs w:val="21"/>
        </w:rPr>
        <w:t>1、中华人民共和国合法公民或具有独立法人资格的经营主体；</w:t>
      </w:r>
    </w:p>
    <w:p>
      <w:pPr>
        <w:spacing w:line="360" w:lineRule="auto"/>
        <w:rPr>
          <w:sz w:val="21"/>
          <w:szCs w:val="21"/>
        </w:rPr>
      </w:pPr>
      <w:r>
        <w:rPr>
          <w:rFonts w:hint="eastAsia"/>
          <w:sz w:val="21"/>
          <w:szCs w:val="21"/>
        </w:rPr>
        <w:t>2、具有履行合同所必需的专业能力，无犯罪记录，非失信人员；</w:t>
      </w:r>
    </w:p>
    <w:p>
      <w:pPr>
        <w:spacing w:line="360" w:lineRule="auto"/>
        <w:rPr>
          <w:sz w:val="21"/>
          <w:szCs w:val="21"/>
        </w:rPr>
      </w:pPr>
      <w:r>
        <w:rPr>
          <w:rFonts w:hint="eastAsia"/>
          <w:sz w:val="21"/>
          <w:szCs w:val="21"/>
        </w:rPr>
        <w:t>3、在投标报名前按要求足额交纳</w:t>
      </w:r>
      <w:r>
        <w:rPr>
          <w:rFonts w:hint="eastAsia"/>
          <w:sz w:val="21"/>
          <w:szCs w:val="21"/>
          <w:u w:val="single"/>
        </w:rPr>
        <w:t>投标保证金壹万元人民币</w:t>
      </w:r>
      <w:r>
        <w:rPr>
          <w:rFonts w:hint="eastAsia"/>
          <w:sz w:val="21"/>
          <w:szCs w:val="21"/>
        </w:rPr>
        <w:t>。</w:t>
      </w:r>
    </w:p>
    <w:p>
      <w:pPr>
        <w:spacing w:line="360" w:lineRule="auto"/>
        <w:rPr>
          <w:sz w:val="21"/>
          <w:szCs w:val="21"/>
        </w:rPr>
      </w:pPr>
      <w:r>
        <w:rPr>
          <w:rFonts w:hint="eastAsia"/>
          <w:sz w:val="21"/>
          <w:szCs w:val="21"/>
        </w:rPr>
        <w:t>4、投标人是法人委托人的，受委托人须提供书面证明材料。</w:t>
      </w:r>
    </w:p>
    <w:p>
      <w:pPr>
        <w:spacing w:line="360" w:lineRule="auto"/>
        <w:rPr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（二）不接受的情形</w:t>
      </w:r>
    </w:p>
    <w:p>
      <w:pPr>
        <w:spacing w:line="360" w:lineRule="auto"/>
        <w:rPr>
          <w:sz w:val="21"/>
          <w:szCs w:val="21"/>
        </w:rPr>
      </w:pPr>
      <w:r>
        <w:rPr>
          <w:rFonts w:hint="eastAsia"/>
          <w:sz w:val="21"/>
          <w:szCs w:val="21"/>
        </w:rPr>
        <w:t>1、不接受合法公民与独立法人为同一人的参与投标；</w:t>
      </w:r>
    </w:p>
    <w:p>
      <w:pPr>
        <w:spacing w:line="360" w:lineRule="auto"/>
        <w:rPr>
          <w:sz w:val="21"/>
          <w:szCs w:val="21"/>
        </w:rPr>
      </w:pPr>
      <w:r>
        <w:rPr>
          <w:rFonts w:hint="eastAsia"/>
          <w:sz w:val="21"/>
          <w:szCs w:val="21"/>
        </w:rPr>
        <w:t>2、不接受兼有直系亲属及配偶同时参与投标；</w:t>
      </w:r>
    </w:p>
    <w:p>
      <w:pPr>
        <w:spacing w:line="360" w:lineRule="auto"/>
        <w:rPr>
          <w:sz w:val="21"/>
          <w:szCs w:val="21"/>
        </w:rPr>
      </w:pPr>
      <w:r>
        <w:rPr>
          <w:rFonts w:hint="eastAsia"/>
          <w:sz w:val="21"/>
          <w:szCs w:val="21"/>
        </w:rPr>
        <w:t>3、相关资质证明均需在投标文件中提供，原件带至现场备查。</w:t>
      </w:r>
    </w:p>
    <w:p>
      <w:pPr>
        <w:spacing w:line="360" w:lineRule="auto"/>
        <w:rPr>
          <w:sz w:val="21"/>
          <w:szCs w:val="21"/>
        </w:rPr>
      </w:pPr>
      <w:r>
        <w:rPr>
          <w:rFonts w:hint="eastAsia"/>
          <w:sz w:val="21"/>
          <w:szCs w:val="21"/>
        </w:rPr>
        <w:t>如不符合要求的，无意或故意参与报名、投标所产生的一切后果由投标人自行承担。</w:t>
      </w:r>
    </w:p>
    <w:p>
      <w:pPr>
        <w:spacing w:line="360" w:lineRule="auto"/>
        <w:rPr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（三）投标时间、地点及其它</w:t>
      </w:r>
    </w:p>
    <w:p>
      <w:pPr>
        <w:spacing w:line="360" w:lineRule="auto"/>
        <w:rPr>
          <w:sz w:val="21"/>
          <w:szCs w:val="21"/>
        </w:rPr>
      </w:pPr>
      <w:r>
        <w:rPr>
          <w:rFonts w:hint="eastAsia"/>
          <w:sz w:val="21"/>
          <w:szCs w:val="21"/>
        </w:rPr>
        <w:t>时间：2023年8月14日上午9:00至202</w:t>
      </w:r>
      <w:r>
        <w:rPr>
          <w:sz w:val="21"/>
          <w:szCs w:val="21"/>
        </w:rPr>
        <w:t>3</w:t>
      </w:r>
      <w:r>
        <w:rPr>
          <w:rFonts w:hint="eastAsia"/>
          <w:sz w:val="21"/>
          <w:szCs w:val="21"/>
        </w:rPr>
        <w:t>年8月14日上午10:30。</w:t>
      </w:r>
    </w:p>
    <w:p>
      <w:pPr>
        <w:spacing w:line="360" w:lineRule="auto"/>
        <w:rPr>
          <w:sz w:val="21"/>
          <w:szCs w:val="21"/>
        </w:rPr>
      </w:pPr>
      <w:r>
        <w:rPr>
          <w:rFonts w:hint="eastAsia"/>
          <w:sz w:val="21"/>
          <w:szCs w:val="21"/>
        </w:rPr>
        <w:t>地点：青年中路89号南通职业大学主楼1107室西。</w:t>
      </w:r>
    </w:p>
    <w:p>
      <w:pPr>
        <w:spacing w:line="360" w:lineRule="auto"/>
        <w:rPr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现场察看现场报价</w:t>
      </w:r>
      <w:r>
        <w:rPr>
          <w:rFonts w:hint="eastAsia"/>
          <w:sz w:val="21"/>
          <w:szCs w:val="21"/>
        </w:rPr>
        <w:t>，报价（并盖章）：</w:t>
      </w:r>
      <w:r>
        <w:rPr>
          <w:rFonts w:hint="eastAsia"/>
          <w:sz w:val="21"/>
          <w:szCs w:val="21"/>
          <w:u w:val="single"/>
        </w:rPr>
        <w:t xml:space="preserve">                </w:t>
      </w:r>
      <w:r>
        <w:rPr>
          <w:rFonts w:hint="eastAsia"/>
          <w:sz w:val="21"/>
          <w:szCs w:val="21"/>
        </w:rPr>
        <w:t>（人民币元）。</w:t>
      </w:r>
    </w:p>
    <w:p>
      <w:pPr>
        <w:spacing w:line="360" w:lineRule="auto"/>
        <w:rPr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四、开标</w:t>
      </w:r>
    </w:p>
    <w:p>
      <w:pPr>
        <w:spacing w:line="360" w:lineRule="auto"/>
        <w:rPr>
          <w:sz w:val="21"/>
          <w:szCs w:val="21"/>
        </w:rPr>
      </w:pPr>
      <w:r>
        <w:rPr>
          <w:rFonts w:hint="eastAsia"/>
          <w:sz w:val="21"/>
          <w:szCs w:val="21"/>
        </w:rPr>
        <w:t>1、开标时间为202</w:t>
      </w:r>
      <w:r>
        <w:rPr>
          <w:sz w:val="21"/>
          <w:szCs w:val="21"/>
        </w:rPr>
        <w:t>3</w:t>
      </w:r>
      <w:r>
        <w:rPr>
          <w:rFonts w:hint="eastAsia"/>
          <w:sz w:val="21"/>
          <w:szCs w:val="21"/>
        </w:rPr>
        <w:t>年8月14日上午10:45。</w:t>
      </w:r>
    </w:p>
    <w:p>
      <w:pPr>
        <w:spacing w:line="360" w:lineRule="auto"/>
        <w:rPr>
          <w:sz w:val="21"/>
          <w:szCs w:val="21"/>
        </w:rPr>
      </w:pPr>
      <w:r>
        <w:rPr>
          <w:rFonts w:hint="eastAsia"/>
          <w:sz w:val="21"/>
          <w:szCs w:val="21"/>
        </w:rPr>
        <w:t>2、南通职业大学组织校内专家进行开标。</w:t>
      </w:r>
    </w:p>
    <w:p>
      <w:pPr>
        <w:spacing w:line="360" w:lineRule="auto"/>
        <w:rPr>
          <w:sz w:val="21"/>
          <w:szCs w:val="21"/>
        </w:rPr>
      </w:pPr>
      <w:r>
        <w:rPr>
          <w:rFonts w:hint="eastAsia"/>
          <w:sz w:val="21"/>
          <w:szCs w:val="21"/>
        </w:rPr>
        <w:t>3、中标人收到中标通知书后，应在2个工作日完成资产处置，并清理现场，过期视为放弃。</w:t>
      </w:r>
    </w:p>
    <w:p>
      <w:pPr>
        <w:spacing w:line="360" w:lineRule="auto"/>
        <w:rPr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五、联系方式</w:t>
      </w:r>
    </w:p>
    <w:p>
      <w:pPr>
        <w:spacing w:line="360" w:lineRule="auto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陈老师  81050996  </w:t>
      </w:r>
    </w:p>
    <w:p>
      <w:pPr>
        <w:spacing w:line="360" w:lineRule="auto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                                            </w:t>
      </w:r>
    </w:p>
    <w:p>
      <w:pPr>
        <w:wordWrap w:val="0"/>
        <w:spacing w:line="360" w:lineRule="auto"/>
        <w:jc w:val="right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                              南通职业大学国资办     </w:t>
      </w:r>
    </w:p>
    <w:p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sz w:val="21"/>
          <w:szCs w:val="21"/>
        </w:rPr>
        <w:t xml:space="preserve">                                        </w:t>
      </w:r>
      <w:bookmarkStart w:id="0" w:name="_GoBack"/>
      <w:bookmarkEnd w:id="0"/>
      <w:r>
        <w:rPr>
          <w:rFonts w:hint="eastAsia"/>
          <w:sz w:val="21"/>
          <w:szCs w:val="21"/>
        </w:rPr>
        <w:t xml:space="preserve">2023年8月9日   </w:t>
      </w:r>
      <w:r>
        <w:rPr>
          <w:rFonts w:hint="eastAsia"/>
          <w:sz w:val="24"/>
          <w:szCs w:val="24"/>
        </w:rPr>
        <w:tab/>
      </w:r>
    </w:p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JmZjNmYzRlZWI1NTQ4OGZiMDk2NjUxZDEwZjk4MmIifQ=="/>
  </w:docVars>
  <w:rsids>
    <w:rsidRoot w:val="00BE2583"/>
    <w:rsid w:val="00470D7B"/>
    <w:rsid w:val="00550AAF"/>
    <w:rsid w:val="00610C5C"/>
    <w:rsid w:val="00737F8B"/>
    <w:rsid w:val="009141BC"/>
    <w:rsid w:val="00BE2583"/>
    <w:rsid w:val="00C022E4"/>
    <w:rsid w:val="00D0092C"/>
    <w:rsid w:val="00F35CC0"/>
    <w:rsid w:val="0C62410D"/>
    <w:rsid w:val="214B1645"/>
    <w:rsid w:val="24932B93"/>
    <w:rsid w:val="2F77273B"/>
    <w:rsid w:val="499B2BD5"/>
    <w:rsid w:val="4BDA63A4"/>
    <w:rsid w:val="51FD18BA"/>
    <w:rsid w:val="7CB40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sz w:val="10"/>
      <w:szCs w:val="10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2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2"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13"/>
    <w:qFormat/>
    <w:uiPriority w:val="1"/>
    <w:pPr>
      <w:autoSpaceDE w:val="0"/>
      <w:autoSpaceDN w:val="0"/>
      <w:jc w:val="left"/>
    </w:pPr>
    <w:rPr>
      <w:rFonts w:ascii="宋体" w:hAnsi="宋体" w:cs="宋体"/>
      <w:sz w:val="28"/>
      <w:szCs w:val="28"/>
      <w:lang w:val="zh-CN" w:bidi="zh-CN"/>
    </w:rPr>
  </w:style>
  <w:style w:type="paragraph" w:styleId="5">
    <w:name w:val="toc 3"/>
    <w:basedOn w:val="1"/>
    <w:next w:val="1"/>
    <w:semiHidden/>
    <w:unhideWhenUsed/>
    <w:qFormat/>
    <w:uiPriority w:val="39"/>
    <w:pPr>
      <w:widowControl/>
      <w:spacing w:after="100" w:line="276" w:lineRule="auto"/>
      <w:ind w:left="440"/>
      <w:jc w:val="left"/>
    </w:pPr>
    <w:rPr>
      <w:sz w:val="22"/>
    </w:rPr>
  </w:style>
  <w:style w:type="paragraph" w:styleId="6">
    <w:name w:val="toc 1"/>
    <w:basedOn w:val="1"/>
    <w:next w:val="1"/>
    <w:unhideWhenUsed/>
    <w:qFormat/>
    <w:uiPriority w:val="39"/>
  </w:style>
  <w:style w:type="paragraph" w:styleId="7">
    <w:name w:val="toc 2"/>
    <w:basedOn w:val="1"/>
    <w:next w:val="1"/>
    <w:unhideWhenUsed/>
    <w:qFormat/>
    <w:uiPriority w:val="39"/>
    <w:pPr>
      <w:ind w:left="420" w:leftChars="200"/>
    </w:pPr>
  </w:style>
  <w:style w:type="paragraph" w:customStyle="1" w:styleId="10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cs="宋体"/>
      <w:sz w:val="22"/>
      <w:lang w:val="zh-CN" w:bidi="zh-CN"/>
    </w:rPr>
  </w:style>
  <w:style w:type="character" w:customStyle="1" w:styleId="11">
    <w:name w:val="标题 1 Char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2">
    <w:name w:val="标题 2 Char"/>
    <w:link w:val="3"/>
    <w:semiHidden/>
    <w:qFormat/>
    <w:uiPriority w:val="9"/>
    <w:rPr>
      <w:rFonts w:ascii="Cambria" w:hAnsi="Cambria"/>
      <w:b/>
      <w:bCs/>
      <w:kern w:val="2"/>
      <w:sz w:val="32"/>
      <w:szCs w:val="32"/>
    </w:rPr>
  </w:style>
  <w:style w:type="character" w:customStyle="1" w:styleId="13">
    <w:name w:val="正文文本 Char"/>
    <w:link w:val="4"/>
    <w:qFormat/>
    <w:uiPriority w:val="1"/>
    <w:rPr>
      <w:rFonts w:ascii="宋体" w:hAnsi="宋体" w:cs="宋体"/>
      <w:sz w:val="28"/>
      <w:szCs w:val="28"/>
      <w:lang w:val="zh-CN" w:bidi="zh-CN"/>
    </w:rPr>
  </w:style>
  <w:style w:type="paragraph" w:styleId="14">
    <w:name w:val="No Spacing"/>
    <w:link w:val="15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15">
    <w:name w:val="无间隔 Char"/>
    <w:link w:val="14"/>
    <w:qFormat/>
    <w:uiPriority w:val="1"/>
    <w:rPr>
      <w:sz w:val="22"/>
      <w:szCs w:val="22"/>
    </w:rPr>
  </w:style>
  <w:style w:type="paragraph" w:styleId="16">
    <w:name w:val="Intense Quote"/>
    <w:basedOn w:val="1"/>
    <w:next w:val="1"/>
    <w:link w:val="17"/>
    <w:qFormat/>
    <w:uiPriority w:val="30"/>
    <w:pPr>
      <w:widowControl/>
      <w:pBdr>
        <w:bottom w:val="single" w:color="4F81BD" w:sz="4" w:space="4"/>
      </w:pBdr>
      <w:spacing w:before="200" w:after="280" w:line="276" w:lineRule="auto"/>
      <w:ind w:left="936" w:right="936"/>
      <w:jc w:val="left"/>
    </w:pPr>
    <w:rPr>
      <w:b/>
      <w:bCs/>
      <w:i/>
      <w:iCs/>
      <w:color w:val="4F81BD"/>
      <w:sz w:val="22"/>
      <w:szCs w:val="22"/>
    </w:rPr>
  </w:style>
  <w:style w:type="character" w:customStyle="1" w:styleId="17">
    <w:name w:val="明显引用 Char"/>
    <w:link w:val="16"/>
    <w:qFormat/>
    <w:uiPriority w:val="30"/>
    <w:rPr>
      <w:b/>
      <w:bCs/>
      <w:i/>
      <w:iCs/>
      <w:color w:val="4F81BD"/>
      <w:sz w:val="22"/>
      <w:szCs w:val="22"/>
    </w:rPr>
  </w:style>
  <w:style w:type="paragraph" w:customStyle="1" w:styleId="18">
    <w:name w:val="TOC 标题1"/>
    <w:basedOn w:val="2"/>
    <w:next w:val="1"/>
    <w:semiHidden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105</Words>
  <Characters>599</Characters>
  <Lines>4</Lines>
  <Paragraphs>1</Paragraphs>
  <TotalTime>0</TotalTime>
  <ScaleCrop>false</ScaleCrop>
  <LinksUpToDate>false</LinksUpToDate>
  <CharactersWithSpaces>703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2023-08-09T01:49:00Z</dcterms:created>
  <dc:creator>陈佳</dc:creator>
  <cp:lastModifiedBy>Na</cp:lastModifiedBy>
  <dcterms:modified xsi:type="dcterms:W3CDTF">2023-08-09T02:58:29Z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CF19A62EC9334C018D4741C445A2630A_12</vt:lpwstr>
  </property>
</Properties>
</file>